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E5B90" w14:textId="77777777" w:rsidR="00FE067E" w:rsidRPr="00ED1E78" w:rsidRDefault="003C6034" w:rsidP="00CC1F3B">
      <w:pPr>
        <w:pStyle w:val="TitlePageOrigin"/>
        <w:rPr>
          <w:color w:val="auto"/>
        </w:rPr>
      </w:pPr>
      <w:r w:rsidRPr="00ED1E78">
        <w:rPr>
          <w:caps w:val="0"/>
          <w:color w:val="auto"/>
        </w:rPr>
        <w:t>WEST VIRGINIA LEGISLATURE</w:t>
      </w:r>
    </w:p>
    <w:p w14:paraId="0A3B6CE5" w14:textId="77777777" w:rsidR="00CD36CF" w:rsidRPr="00ED1E78" w:rsidRDefault="00CD36CF" w:rsidP="00CC1F3B">
      <w:pPr>
        <w:pStyle w:val="TitlePageSession"/>
        <w:rPr>
          <w:color w:val="auto"/>
        </w:rPr>
      </w:pPr>
      <w:r w:rsidRPr="00ED1E78">
        <w:rPr>
          <w:color w:val="auto"/>
        </w:rPr>
        <w:t>20</w:t>
      </w:r>
      <w:r w:rsidR="00EC5E63" w:rsidRPr="00ED1E78">
        <w:rPr>
          <w:color w:val="auto"/>
        </w:rPr>
        <w:t>2</w:t>
      </w:r>
      <w:r w:rsidR="00400B5C" w:rsidRPr="00ED1E78">
        <w:rPr>
          <w:color w:val="auto"/>
        </w:rPr>
        <w:t>2</w:t>
      </w:r>
      <w:r w:rsidRPr="00ED1E78">
        <w:rPr>
          <w:color w:val="auto"/>
        </w:rPr>
        <w:t xml:space="preserve"> </w:t>
      </w:r>
      <w:r w:rsidR="003C6034" w:rsidRPr="00ED1E78">
        <w:rPr>
          <w:caps w:val="0"/>
          <w:color w:val="auto"/>
        </w:rPr>
        <w:t>REGULAR SESSION</w:t>
      </w:r>
    </w:p>
    <w:p w14:paraId="24CD4EE8" w14:textId="77777777" w:rsidR="00CD36CF" w:rsidRPr="00ED1E78" w:rsidRDefault="0021791D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9AABF3F703A4BAFAF7BD12A689D1CBA"/>
          </w:placeholder>
          <w:text/>
        </w:sdtPr>
        <w:sdtEndPr/>
        <w:sdtContent>
          <w:r w:rsidR="00AE48A0" w:rsidRPr="00ED1E78">
            <w:rPr>
              <w:color w:val="auto"/>
            </w:rPr>
            <w:t>Introduced</w:t>
          </w:r>
        </w:sdtContent>
      </w:sdt>
    </w:p>
    <w:p w14:paraId="7358D938" w14:textId="18B215F0" w:rsidR="00CD36CF" w:rsidRPr="00ED1E78" w:rsidRDefault="0021791D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EEF73F2EB7D44A8A7AD6C46BA3543E8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ED1E78">
            <w:rPr>
              <w:color w:val="auto"/>
            </w:rPr>
            <w:t>House</w:t>
          </w:r>
        </w:sdtContent>
      </w:sdt>
      <w:r w:rsidR="00303684" w:rsidRPr="00ED1E78">
        <w:rPr>
          <w:color w:val="auto"/>
        </w:rPr>
        <w:t xml:space="preserve"> </w:t>
      </w:r>
      <w:r w:rsidR="00CD36CF" w:rsidRPr="00ED1E7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303811BC61D482F80B0B1505D4257B3"/>
          </w:placeholder>
          <w:text/>
        </w:sdtPr>
        <w:sdtEndPr/>
        <w:sdtContent>
          <w:r>
            <w:rPr>
              <w:color w:val="auto"/>
            </w:rPr>
            <w:t>4555</w:t>
          </w:r>
        </w:sdtContent>
      </w:sdt>
    </w:p>
    <w:p w14:paraId="3292295D" w14:textId="49A4A79F" w:rsidR="00CD36CF" w:rsidRPr="00ED1E78" w:rsidRDefault="00CD36CF" w:rsidP="00CC1F3B">
      <w:pPr>
        <w:pStyle w:val="Sponsors"/>
        <w:rPr>
          <w:color w:val="auto"/>
        </w:rPr>
      </w:pPr>
      <w:r w:rsidRPr="00ED1E7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D7F4636DD1DA4A27833A057174A2EDFA"/>
          </w:placeholder>
          <w:text w:multiLine="1"/>
        </w:sdtPr>
        <w:sdtEndPr/>
        <w:sdtContent>
          <w:r w:rsidR="00A95E50" w:rsidRPr="00ED1E78">
            <w:rPr>
              <w:color w:val="auto"/>
            </w:rPr>
            <w:t>Delegate</w:t>
          </w:r>
          <w:r w:rsidR="00FD6960">
            <w:rPr>
              <w:color w:val="auto"/>
            </w:rPr>
            <w:t>s</w:t>
          </w:r>
          <w:r w:rsidR="00A95E50" w:rsidRPr="00ED1E78">
            <w:rPr>
              <w:color w:val="auto"/>
            </w:rPr>
            <w:t xml:space="preserve"> Hamrick</w:t>
          </w:r>
        </w:sdtContent>
      </w:sdt>
      <w:r w:rsidR="00FD6960">
        <w:rPr>
          <w:color w:val="auto"/>
        </w:rPr>
        <w:t>, Dean, Paynter, Haynes, and Howell</w:t>
      </w:r>
    </w:p>
    <w:p w14:paraId="2C499D8B" w14:textId="3CF08F9A" w:rsidR="00E831B3" w:rsidRPr="00ED1E78" w:rsidRDefault="00CD36CF" w:rsidP="00CC1F3B">
      <w:pPr>
        <w:pStyle w:val="References"/>
        <w:rPr>
          <w:color w:val="auto"/>
        </w:rPr>
      </w:pPr>
      <w:r w:rsidRPr="00ED1E78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C649CD366EA941C4993EED4610C17A2C"/>
          </w:placeholder>
          <w:text w:multiLine="1"/>
        </w:sdtPr>
        <w:sdtEndPr/>
        <w:sdtContent>
          <w:r w:rsidR="0021791D">
            <w:rPr>
              <w:color w:val="auto"/>
            </w:rPr>
            <w:t>Introduced February 03, 2022; Referred to the Committee on the Judiciary</w:t>
          </w:r>
        </w:sdtContent>
      </w:sdt>
      <w:r w:rsidRPr="00ED1E78">
        <w:rPr>
          <w:color w:val="auto"/>
        </w:rPr>
        <w:t>]</w:t>
      </w:r>
    </w:p>
    <w:p w14:paraId="1F2D9F49" w14:textId="1F892A85" w:rsidR="00303684" w:rsidRPr="00ED1E78" w:rsidRDefault="0000526A" w:rsidP="00CC1F3B">
      <w:pPr>
        <w:pStyle w:val="TitleSection"/>
        <w:rPr>
          <w:color w:val="auto"/>
        </w:rPr>
      </w:pPr>
      <w:r w:rsidRPr="00ED1E78">
        <w:rPr>
          <w:color w:val="auto"/>
        </w:rPr>
        <w:lastRenderedPageBreak/>
        <w:t>A BILL</w:t>
      </w:r>
      <w:r w:rsidR="002B12AC" w:rsidRPr="00ED1E78">
        <w:rPr>
          <w:color w:val="auto"/>
        </w:rPr>
        <w:t xml:space="preserve"> to amend the Code of West Virginia, 1931, as amended, by adding thereto a new section, designated §61-7-13, relating to carrying and storing a handgun or handgun ammunition by a hotel guest</w:t>
      </w:r>
      <w:r w:rsidR="00AD3EA6" w:rsidRPr="00ED1E78">
        <w:rPr>
          <w:color w:val="auto"/>
        </w:rPr>
        <w:t>; and defenses to prosecution</w:t>
      </w:r>
      <w:r w:rsidR="002B12AC" w:rsidRPr="00ED1E78">
        <w:rPr>
          <w:color w:val="auto"/>
        </w:rPr>
        <w:t>.</w:t>
      </w:r>
    </w:p>
    <w:p w14:paraId="3444796E" w14:textId="77777777" w:rsidR="00303684" w:rsidRPr="00ED1E78" w:rsidRDefault="00303684" w:rsidP="00CC1F3B">
      <w:pPr>
        <w:pStyle w:val="EnactingClause"/>
        <w:rPr>
          <w:color w:val="auto"/>
        </w:rPr>
      </w:pPr>
      <w:r w:rsidRPr="00ED1E78">
        <w:rPr>
          <w:color w:val="auto"/>
        </w:rPr>
        <w:t>Be it enacted by the Legislature of West Virginia:</w:t>
      </w:r>
    </w:p>
    <w:p w14:paraId="41F3367F" w14:textId="77777777" w:rsidR="003C6034" w:rsidRPr="00ED1E78" w:rsidRDefault="003C6034" w:rsidP="00CC1F3B">
      <w:pPr>
        <w:pStyle w:val="EnactingClause"/>
        <w:rPr>
          <w:color w:val="auto"/>
        </w:rPr>
        <w:sectPr w:rsidR="003C6034" w:rsidRPr="00ED1E78" w:rsidSect="001D23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A81E199" w14:textId="77777777" w:rsidR="0046786D" w:rsidRPr="00ED1E78" w:rsidRDefault="0046786D" w:rsidP="00D237A7">
      <w:pPr>
        <w:pStyle w:val="ArticleHeading"/>
        <w:rPr>
          <w:color w:val="auto"/>
        </w:rPr>
        <w:sectPr w:rsidR="0046786D" w:rsidRPr="00ED1E78" w:rsidSect="001D233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ED1E78">
        <w:rPr>
          <w:color w:val="auto"/>
        </w:rPr>
        <w:t>ARTICLE 7. DANGEROUS WEAPONS.</w:t>
      </w:r>
    </w:p>
    <w:p w14:paraId="384FAB65" w14:textId="6B75D4AC" w:rsidR="0046786D" w:rsidRPr="00ED1E78" w:rsidRDefault="0046786D" w:rsidP="00AD3EA6">
      <w:pPr>
        <w:pStyle w:val="SectionHeading"/>
        <w:rPr>
          <w:color w:val="auto"/>
          <w:u w:val="single"/>
        </w:rPr>
      </w:pPr>
      <w:r w:rsidRPr="00ED1E78">
        <w:rPr>
          <w:color w:val="auto"/>
          <w:u w:val="single"/>
        </w:rPr>
        <w:t xml:space="preserve">§61-7-13. </w:t>
      </w:r>
      <w:r w:rsidR="00AD3EA6" w:rsidRPr="00ED1E78">
        <w:rPr>
          <w:color w:val="auto"/>
          <w:u w:val="single"/>
        </w:rPr>
        <w:t>C</w:t>
      </w:r>
      <w:r w:rsidRPr="00ED1E78">
        <w:rPr>
          <w:color w:val="auto"/>
          <w:u w:val="single"/>
        </w:rPr>
        <w:t>arrying and storing a handgun or handgun ammunition by a hotel guest.</w:t>
      </w:r>
    </w:p>
    <w:p w14:paraId="02D8E8C3" w14:textId="7C53B00A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 xml:space="preserve">(a) Definition.--  In this section </w:t>
      </w:r>
      <w:r w:rsidR="00A914CA" w:rsidRPr="00ED1E78">
        <w:rPr>
          <w:color w:val="auto"/>
          <w:u w:val="single"/>
        </w:rPr>
        <w:t>“</w:t>
      </w:r>
      <w:r w:rsidRPr="00ED1E78">
        <w:rPr>
          <w:color w:val="auto"/>
          <w:u w:val="single"/>
        </w:rPr>
        <w:t>hotel</w:t>
      </w:r>
      <w:r w:rsidR="00A914CA" w:rsidRPr="00ED1E78">
        <w:rPr>
          <w:color w:val="auto"/>
          <w:u w:val="single"/>
        </w:rPr>
        <w:t>”</w:t>
      </w:r>
      <w:r w:rsidRPr="00ED1E78">
        <w:rPr>
          <w:color w:val="auto"/>
          <w:u w:val="single"/>
        </w:rPr>
        <w:t xml:space="preserve"> means a hotel, motel, inn, or similar business entity that offers more than 10 rooms to the public for temporary lodging for a fee</w:t>
      </w:r>
      <w:r w:rsidR="008A6D2F" w:rsidRPr="00ED1E78">
        <w:rPr>
          <w:color w:val="auto"/>
          <w:u w:val="single"/>
        </w:rPr>
        <w:t>.</w:t>
      </w:r>
    </w:p>
    <w:p w14:paraId="2BDA831E" w14:textId="0EE69936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(b) Unless possession of a handgun or other firearm or ammunition on hotel property is prohibited by state or federal law, a hotel may not adopt a policy prohibiting a hotel guest from:</w:t>
      </w:r>
    </w:p>
    <w:p w14:paraId="78E4D5E2" w14:textId="59CE91E6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(1) Carrying or storing a firearm or firearm ammunition in the guest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 xml:space="preserve">s hotel room; </w:t>
      </w:r>
    </w:p>
    <w:p w14:paraId="7DEE43F2" w14:textId="6F0E94AC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(2) Carrying a firearm or firearm ammunition directly enroute to or from the hotel or the guest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>s hotel room;</w:t>
      </w:r>
    </w:p>
    <w:p w14:paraId="38B19D11" w14:textId="2F3F13FF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(3) Carrying a firearm or firearm ammunition directly enroute to or from the guest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>s vehicle located on the hotel property, including a vehicle in a parking area provided for hotel guests; or</w:t>
      </w:r>
    </w:p>
    <w:p w14:paraId="10E35C49" w14:textId="5E82DDA9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 xml:space="preserve">(4) </w:t>
      </w:r>
      <w:r w:rsidR="00AD3EA6" w:rsidRPr="00ED1E78">
        <w:rPr>
          <w:color w:val="auto"/>
          <w:u w:val="single"/>
        </w:rPr>
        <w:t>C</w:t>
      </w:r>
      <w:r w:rsidRPr="00ED1E78">
        <w:rPr>
          <w:color w:val="auto"/>
          <w:u w:val="single"/>
        </w:rPr>
        <w:t>arrying or storing a firearm or firearm ammunition in the guest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>s vehicle located on the hotel property, including a vehicle in a parking area provided for hotel guests.</w:t>
      </w:r>
    </w:p>
    <w:p w14:paraId="7D581E74" w14:textId="4770383B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</w:t>
      </w:r>
      <w:r w:rsidR="00A914CA" w:rsidRPr="00ED1E78">
        <w:rPr>
          <w:color w:val="auto"/>
          <w:u w:val="single"/>
        </w:rPr>
        <w:t>c</w:t>
      </w:r>
      <w:r w:rsidRPr="00ED1E78">
        <w:rPr>
          <w:color w:val="auto"/>
          <w:u w:val="single"/>
        </w:rPr>
        <w:t>) A hotel may adopt a policy requiring a hotel guest carrying a firearm or firearm ammunition in a common area on the hotel property to</w:t>
      </w:r>
      <w:r w:rsidR="00AD3EA6" w:rsidRPr="00ED1E78">
        <w:rPr>
          <w:color w:val="auto"/>
          <w:u w:val="single"/>
        </w:rPr>
        <w:t xml:space="preserve"> carry a</w:t>
      </w:r>
      <w:r w:rsidRPr="00ED1E78">
        <w:rPr>
          <w:color w:val="auto"/>
          <w:u w:val="single"/>
        </w:rPr>
        <w:t>:</w:t>
      </w:r>
    </w:p>
    <w:p w14:paraId="38954259" w14:textId="17AA980D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 xml:space="preserve">(1) </w:t>
      </w:r>
      <w:r w:rsidR="00AD3EA6" w:rsidRPr="00ED1E78">
        <w:rPr>
          <w:color w:val="auto"/>
          <w:u w:val="single"/>
        </w:rPr>
        <w:t>H</w:t>
      </w:r>
      <w:r w:rsidRPr="00ED1E78">
        <w:rPr>
          <w:color w:val="auto"/>
          <w:u w:val="single"/>
        </w:rPr>
        <w:t>andgun in a concealed manner; or</w:t>
      </w:r>
    </w:p>
    <w:p w14:paraId="511F3410" w14:textId="0A8F5C03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 xml:space="preserve">(2) </w:t>
      </w:r>
      <w:r w:rsidR="00AD3EA6" w:rsidRPr="00ED1E78">
        <w:rPr>
          <w:color w:val="auto"/>
          <w:u w:val="single"/>
        </w:rPr>
        <w:t>F</w:t>
      </w:r>
      <w:r w:rsidRPr="00ED1E78">
        <w:rPr>
          <w:color w:val="auto"/>
          <w:u w:val="single"/>
        </w:rPr>
        <w:t>irearm or ammunition in a case or bag.</w:t>
      </w:r>
    </w:p>
    <w:p w14:paraId="351D1A96" w14:textId="62E458CD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</w:t>
      </w:r>
      <w:r w:rsidR="00A914CA" w:rsidRPr="00ED1E78">
        <w:rPr>
          <w:color w:val="auto"/>
          <w:u w:val="single"/>
        </w:rPr>
        <w:t>d</w:t>
      </w:r>
      <w:r w:rsidRPr="00ED1E78">
        <w:rPr>
          <w:color w:val="auto"/>
          <w:u w:val="single"/>
        </w:rPr>
        <w:t>) It is a defense to prosecution under this section that:</w:t>
      </w:r>
    </w:p>
    <w:p w14:paraId="3891BEFD" w14:textId="13910B8D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(1) The conduct occurred on hotel property, and the basis on which entry on that property was forbidden is that entry with a firearm or firearm ammunition was forbidden;</w:t>
      </w:r>
    </w:p>
    <w:p w14:paraId="4A58C939" w14:textId="30F1E20F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 xml:space="preserve">(2) The actor is a guest of a </w:t>
      </w:r>
      <w:r w:rsidR="005573A4" w:rsidRPr="00ED1E78">
        <w:rPr>
          <w:color w:val="auto"/>
          <w:u w:val="single"/>
        </w:rPr>
        <w:t>hotel,</w:t>
      </w:r>
      <w:r w:rsidRPr="00ED1E78">
        <w:rPr>
          <w:color w:val="auto"/>
          <w:u w:val="single"/>
        </w:rPr>
        <w:t xml:space="preserve"> and</w:t>
      </w:r>
    </w:p>
    <w:p w14:paraId="4B2C7D54" w14:textId="70C373AC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(3)</w:t>
      </w:r>
      <w:r w:rsidR="008A6D2F" w:rsidRPr="00ED1E78">
        <w:rPr>
          <w:color w:val="auto"/>
          <w:u w:val="single"/>
        </w:rPr>
        <w:t xml:space="preserve"> </w:t>
      </w:r>
      <w:r w:rsidRPr="00ED1E78">
        <w:rPr>
          <w:color w:val="auto"/>
          <w:u w:val="single"/>
        </w:rPr>
        <w:t>The actor carries:</w:t>
      </w:r>
    </w:p>
    <w:p w14:paraId="04D0CF65" w14:textId="62117760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(A) Or stores a firearm or firearm ammunition in the actor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 xml:space="preserve">s hotel room; </w:t>
      </w:r>
    </w:p>
    <w:p w14:paraId="59B0FAEE" w14:textId="593E329B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(B) A firearm or firearm ammunition directly enroute to or from the hotel or the actor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>s hotel room;</w:t>
      </w:r>
    </w:p>
    <w:p w14:paraId="759760DD" w14:textId="3D54D17A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>(C) A firearm or firearm ammunition directly enroute to or from the actor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>s vehicle located on the hotel property, including a vehicle in a parking area provided for hotel guests; or</w:t>
      </w:r>
    </w:p>
    <w:p w14:paraId="4B6BE769" w14:textId="691BC52F" w:rsidR="0046786D" w:rsidRPr="00ED1E78" w:rsidRDefault="0046786D" w:rsidP="0046786D">
      <w:pPr>
        <w:pStyle w:val="SectionBody"/>
        <w:rPr>
          <w:color w:val="auto"/>
          <w:u w:val="single"/>
        </w:rPr>
      </w:pPr>
      <w:r w:rsidRPr="00ED1E78">
        <w:rPr>
          <w:color w:val="auto"/>
          <w:u w:val="single"/>
        </w:rPr>
        <w:t xml:space="preserve">(D) </w:t>
      </w:r>
      <w:r w:rsidR="00AD3EA6" w:rsidRPr="00ED1E78">
        <w:rPr>
          <w:color w:val="auto"/>
          <w:u w:val="single"/>
        </w:rPr>
        <w:t>S</w:t>
      </w:r>
      <w:r w:rsidRPr="00ED1E78">
        <w:rPr>
          <w:color w:val="auto"/>
          <w:u w:val="single"/>
        </w:rPr>
        <w:t>tores a firearm or firearm ammunition in the actor</w:t>
      </w:r>
      <w:r w:rsidR="00A914CA" w:rsidRPr="00ED1E78">
        <w:rPr>
          <w:color w:val="auto"/>
          <w:u w:val="single"/>
        </w:rPr>
        <w:t>’</w:t>
      </w:r>
      <w:r w:rsidRPr="00ED1E78">
        <w:rPr>
          <w:color w:val="auto"/>
          <w:u w:val="single"/>
        </w:rPr>
        <w:t>s vehicle located on the hotel property, including a vehicle in a parking area provided for hotel guests.</w:t>
      </w:r>
    </w:p>
    <w:p w14:paraId="05997AFE" w14:textId="694C0707" w:rsidR="0046786D" w:rsidRPr="00ED1E78" w:rsidRDefault="0046786D" w:rsidP="0046786D">
      <w:pPr>
        <w:pStyle w:val="SectionBody"/>
        <w:rPr>
          <w:color w:val="auto"/>
        </w:rPr>
      </w:pPr>
      <w:r w:rsidRPr="00ED1E78">
        <w:rPr>
          <w:color w:val="auto"/>
          <w:u w:val="single"/>
        </w:rPr>
        <w:t xml:space="preserve">(e) It is a defense to prosecution under this section that the license holder is a guest of a hotel, as defined by </w:t>
      </w:r>
      <w:r w:rsidR="00AD3EA6" w:rsidRPr="00ED1E78">
        <w:rPr>
          <w:color w:val="auto"/>
          <w:u w:val="single"/>
        </w:rPr>
        <w:t>subsection (a) of this s</w:t>
      </w:r>
      <w:r w:rsidRPr="00ED1E78">
        <w:rPr>
          <w:color w:val="auto"/>
          <w:u w:val="single"/>
        </w:rPr>
        <w:t>ection</w:t>
      </w:r>
      <w:r w:rsidR="00AD3EA6" w:rsidRPr="00ED1E78">
        <w:rPr>
          <w:color w:val="auto"/>
          <w:u w:val="single"/>
        </w:rPr>
        <w:t>.</w:t>
      </w:r>
    </w:p>
    <w:p w14:paraId="4F7C8876" w14:textId="77777777" w:rsidR="00C33014" w:rsidRPr="00ED1E78" w:rsidRDefault="00C33014" w:rsidP="00CC1F3B">
      <w:pPr>
        <w:pStyle w:val="Note"/>
        <w:rPr>
          <w:color w:val="auto"/>
        </w:rPr>
      </w:pPr>
    </w:p>
    <w:p w14:paraId="778BF2A7" w14:textId="2D2FF512" w:rsidR="006865E9" w:rsidRPr="00ED1E78" w:rsidRDefault="00CF1DCA" w:rsidP="00CC1F3B">
      <w:pPr>
        <w:pStyle w:val="Note"/>
        <w:rPr>
          <w:color w:val="auto"/>
        </w:rPr>
      </w:pPr>
      <w:r w:rsidRPr="00ED1E78">
        <w:rPr>
          <w:color w:val="auto"/>
        </w:rPr>
        <w:t>NOTE: The</w:t>
      </w:r>
      <w:r w:rsidR="006865E9" w:rsidRPr="00ED1E78">
        <w:rPr>
          <w:color w:val="auto"/>
        </w:rPr>
        <w:t xml:space="preserve"> purpose of this bill is to </w:t>
      </w:r>
      <w:r w:rsidR="00AD3EA6" w:rsidRPr="00ED1E78">
        <w:rPr>
          <w:color w:val="auto"/>
        </w:rPr>
        <w:t>define carrying and storing a handgun or handgun ammunition by a hotel guest; and provide defenses to prosecution.</w:t>
      </w:r>
    </w:p>
    <w:p w14:paraId="4EE8DE10" w14:textId="77777777" w:rsidR="006865E9" w:rsidRPr="00ED1E78" w:rsidRDefault="00AE48A0" w:rsidP="00CC1F3B">
      <w:pPr>
        <w:pStyle w:val="Note"/>
        <w:rPr>
          <w:color w:val="auto"/>
        </w:rPr>
      </w:pPr>
      <w:r w:rsidRPr="00ED1E78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ED1E78" w:rsidSect="001D2336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51DF0" w14:textId="77777777" w:rsidR="00A95E50" w:rsidRPr="00B844FE" w:rsidRDefault="00A95E50" w:rsidP="00B844FE">
      <w:r>
        <w:separator/>
      </w:r>
    </w:p>
  </w:endnote>
  <w:endnote w:type="continuationSeparator" w:id="0">
    <w:p w14:paraId="43823500" w14:textId="77777777" w:rsidR="00A95E50" w:rsidRPr="00B844FE" w:rsidRDefault="00A95E50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DE5EBAD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88F2769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F978D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BED25" w14:textId="77777777" w:rsidR="00A95E50" w:rsidRPr="00B844FE" w:rsidRDefault="00A95E50" w:rsidP="00B844FE">
      <w:r>
        <w:separator/>
      </w:r>
    </w:p>
  </w:footnote>
  <w:footnote w:type="continuationSeparator" w:id="0">
    <w:p w14:paraId="1CE28510" w14:textId="77777777" w:rsidR="00A95E50" w:rsidRPr="00B844FE" w:rsidRDefault="00A95E50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DE3D" w14:textId="77777777" w:rsidR="002A0269" w:rsidRPr="00B844FE" w:rsidRDefault="0021791D">
    <w:pPr>
      <w:pStyle w:val="Header"/>
    </w:pPr>
    <w:sdt>
      <w:sdtPr>
        <w:id w:val="-684364211"/>
        <w:placeholder>
          <w:docPart w:val="5EEF73F2EB7D44A8A7AD6C46BA3543E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EEF73F2EB7D44A8A7AD6C46BA3543E8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A5D1" w14:textId="7046E8A6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A95E50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A95E50">
          <w:rPr>
            <w:sz w:val="22"/>
            <w:szCs w:val="22"/>
          </w:rPr>
          <w:t>2022R2353</w:t>
        </w:r>
      </w:sdtContent>
    </w:sdt>
  </w:p>
  <w:p w14:paraId="44A5271B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F3CE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50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2336"/>
    <w:rsid w:val="001D459E"/>
    <w:rsid w:val="0021791D"/>
    <w:rsid w:val="0022348D"/>
    <w:rsid w:val="0027011C"/>
    <w:rsid w:val="00274200"/>
    <w:rsid w:val="00275740"/>
    <w:rsid w:val="002A0269"/>
    <w:rsid w:val="002B12AC"/>
    <w:rsid w:val="00303684"/>
    <w:rsid w:val="003143F5"/>
    <w:rsid w:val="00314854"/>
    <w:rsid w:val="00394191"/>
    <w:rsid w:val="003C51CD"/>
    <w:rsid w:val="003C6034"/>
    <w:rsid w:val="00400B5C"/>
    <w:rsid w:val="004368E0"/>
    <w:rsid w:val="0046786D"/>
    <w:rsid w:val="004C13DD"/>
    <w:rsid w:val="004D3ABE"/>
    <w:rsid w:val="004E3441"/>
    <w:rsid w:val="00500579"/>
    <w:rsid w:val="005573A4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A6D2F"/>
    <w:rsid w:val="008D275D"/>
    <w:rsid w:val="00977A58"/>
    <w:rsid w:val="00980327"/>
    <w:rsid w:val="00986478"/>
    <w:rsid w:val="009B5557"/>
    <w:rsid w:val="009F1067"/>
    <w:rsid w:val="00A31E01"/>
    <w:rsid w:val="00A527AD"/>
    <w:rsid w:val="00A718CF"/>
    <w:rsid w:val="00A914CA"/>
    <w:rsid w:val="00A95E50"/>
    <w:rsid w:val="00AD3EA6"/>
    <w:rsid w:val="00AE48A0"/>
    <w:rsid w:val="00AE61BE"/>
    <w:rsid w:val="00B16F25"/>
    <w:rsid w:val="00B24422"/>
    <w:rsid w:val="00B66B81"/>
    <w:rsid w:val="00B80C20"/>
    <w:rsid w:val="00B844FE"/>
    <w:rsid w:val="00B86B4F"/>
    <w:rsid w:val="00BA15D9"/>
    <w:rsid w:val="00BA1F84"/>
    <w:rsid w:val="00BC4D11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D1E78"/>
    <w:rsid w:val="00EE70CB"/>
    <w:rsid w:val="00F41CA2"/>
    <w:rsid w:val="00F443C0"/>
    <w:rsid w:val="00F62EFB"/>
    <w:rsid w:val="00F939A4"/>
    <w:rsid w:val="00FA7B09"/>
    <w:rsid w:val="00FD5B51"/>
    <w:rsid w:val="00FD6960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91F1573"/>
  <w15:chartTrackingRefBased/>
  <w15:docId w15:val="{281ED1BB-7559-445D-B8DC-4D66AB078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link w:val="SectionBodyChar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46786D"/>
    <w:rPr>
      <w:rFonts w:eastAsia="Calibri"/>
      <w:b/>
      <w:caps/>
      <w:color w:val="000000"/>
      <w:sz w:val="24"/>
    </w:rPr>
  </w:style>
  <w:style w:type="character" w:customStyle="1" w:styleId="SectionBodyChar">
    <w:name w:val="Section Body Char"/>
    <w:link w:val="SectionBody"/>
    <w:rsid w:val="0046786D"/>
    <w:rPr>
      <w:rFonts w:eastAsia="Calibri"/>
      <w:color w:val="000000"/>
    </w:rPr>
  </w:style>
  <w:style w:type="character" w:customStyle="1" w:styleId="SectionHeadingChar">
    <w:name w:val="Section Heading Char"/>
    <w:link w:val="SectionHeading"/>
    <w:rsid w:val="0046786D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ABF3F703A4BAFAF7BD12A689D1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099F6-C2D9-4231-B6A7-E9248BA86E4D}"/>
      </w:docPartPr>
      <w:docPartBody>
        <w:p w:rsidR="009C5076" w:rsidRDefault="009C5076">
          <w:pPr>
            <w:pStyle w:val="79AABF3F703A4BAFAF7BD12A689D1CBA"/>
          </w:pPr>
          <w:r w:rsidRPr="00B844FE">
            <w:t>Prefix Text</w:t>
          </w:r>
        </w:p>
      </w:docPartBody>
    </w:docPart>
    <w:docPart>
      <w:docPartPr>
        <w:name w:val="5EEF73F2EB7D44A8A7AD6C46BA354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233B-C096-47B3-B9DD-0829F60671FE}"/>
      </w:docPartPr>
      <w:docPartBody>
        <w:p w:rsidR="009C5076" w:rsidRDefault="009C5076">
          <w:pPr>
            <w:pStyle w:val="5EEF73F2EB7D44A8A7AD6C46BA3543E8"/>
          </w:pPr>
          <w:r w:rsidRPr="00B844FE">
            <w:t>[Type here]</w:t>
          </w:r>
        </w:p>
      </w:docPartBody>
    </w:docPart>
    <w:docPart>
      <w:docPartPr>
        <w:name w:val="0303811BC61D482F80B0B1505D425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191E1-95B0-442E-8F8C-3C8295161C33}"/>
      </w:docPartPr>
      <w:docPartBody>
        <w:p w:rsidR="009C5076" w:rsidRDefault="009C5076">
          <w:pPr>
            <w:pStyle w:val="0303811BC61D482F80B0B1505D4257B3"/>
          </w:pPr>
          <w:r w:rsidRPr="00B844FE">
            <w:t>Number</w:t>
          </w:r>
        </w:p>
      </w:docPartBody>
    </w:docPart>
    <w:docPart>
      <w:docPartPr>
        <w:name w:val="D7F4636DD1DA4A27833A057174A2E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F95C7-A14F-4850-9ADB-70B7E7BA1CA3}"/>
      </w:docPartPr>
      <w:docPartBody>
        <w:p w:rsidR="009C5076" w:rsidRDefault="009C5076">
          <w:pPr>
            <w:pStyle w:val="D7F4636DD1DA4A27833A057174A2EDFA"/>
          </w:pPr>
          <w:r w:rsidRPr="00B844FE">
            <w:t>Enter Sponsors Here</w:t>
          </w:r>
        </w:p>
      </w:docPartBody>
    </w:docPart>
    <w:docPart>
      <w:docPartPr>
        <w:name w:val="C649CD366EA941C4993EED4610C17A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614D-A6E2-4FC9-9859-8C0CF975BA1A}"/>
      </w:docPartPr>
      <w:docPartBody>
        <w:p w:rsidR="009C5076" w:rsidRDefault="009C5076">
          <w:pPr>
            <w:pStyle w:val="C649CD366EA941C4993EED4610C17A2C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076"/>
    <w:rsid w:val="009C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AABF3F703A4BAFAF7BD12A689D1CBA">
    <w:name w:val="79AABF3F703A4BAFAF7BD12A689D1CBA"/>
  </w:style>
  <w:style w:type="paragraph" w:customStyle="1" w:styleId="5EEF73F2EB7D44A8A7AD6C46BA3543E8">
    <w:name w:val="5EEF73F2EB7D44A8A7AD6C46BA3543E8"/>
  </w:style>
  <w:style w:type="paragraph" w:customStyle="1" w:styleId="0303811BC61D482F80B0B1505D4257B3">
    <w:name w:val="0303811BC61D482F80B0B1505D4257B3"/>
  </w:style>
  <w:style w:type="paragraph" w:customStyle="1" w:styleId="D7F4636DD1DA4A27833A057174A2EDFA">
    <w:name w:val="D7F4636DD1DA4A27833A057174A2EDFA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649CD366EA941C4993EED4610C17A2C">
    <w:name w:val="C649CD366EA941C4993EED4610C17A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Shell.dotx</Template>
  <TotalTime>0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Joey Sheen</cp:lastModifiedBy>
  <cp:revision>2</cp:revision>
  <cp:lastPrinted>2022-02-01T20:37:00Z</cp:lastPrinted>
  <dcterms:created xsi:type="dcterms:W3CDTF">2022-02-02T23:06:00Z</dcterms:created>
  <dcterms:modified xsi:type="dcterms:W3CDTF">2022-02-02T23:06:00Z</dcterms:modified>
</cp:coreProperties>
</file>